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20" w:lineRule="auto"/>
        <w:ind w:left="0" w:firstLine="0"/>
        <w:rPr/>
      </w:pPr>
      <w:bookmarkStart w:colFirst="0" w:colLast="0" w:name="_heading=h.1lzxymp298q4" w:id="0"/>
      <w:bookmarkEnd w:id="0"/>
      <w:r w:rsidDel="00000000" w:rsidR="00000000" w:rsidRPr="00000000">
        <w:rPr>
          <w:sz w:val="46"/>
          <w:szCs w:val="46"/>
          <w:rtl w:val="0"/>
        </w:rPr>
        <w:t xml:space="preserve">Work-Based Learning </w:t>
      </w:r>
      <w:r w:rsidDel="00000000" w:rsidR="00000000" w:rsidRPr="00000000">
        <w:rPr>
          <w:sz w:val="46"/>
          <w:szCs w:val="46"/>
          <w:rtl w:val="0"/>
        </w:rPr>
        <w:t xml:space="preserve">Empl</w:t>
      </w:r>
      <w:r w:rsidDel="00000000" w:rsidR="00000000" w:rsidRPr="00000000">
        <w:rPr>
          <w:sz w:val="46"/>
          <w:szCs w:val="46"/>
          <w:rtl w:val="0"/>
        </w:rPr>
        <w:t xml:space="preserve">oyer Onboarding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120" w:before="200" w:line="240" w:lineRule="auto"/>
        <w:rPr/>
      </w:pPr>
      <w:bookmarkStart w:colFirst="0" w:colLast="0" w:name="_heading=h.d9f47sp0w8co" w:id="1"/>
      <w:bookmarkEnd w:id="1"/>
      <w:r w:rsidDel="00000000" w:rsidR="00000000" w:rsidRPr="00000000">
        <w:rPr>
          <w:rtl w:val="0"/>
        </w:rPr>
        <w:t xml:space="preserve">Phase 1</w:t>
      </w:r>
      <w:r w:rsidDel="00000000" w:rsidR="00000000" w:rsidRPr="00000000">
        <w:rPr>
          <w:rtl w:val="0"/>
        </w:rPr>
        <w:t xml:space="preserve">: Prepare and Plan (Before Hosting a Student)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Define your goals for participating in work-based learning (WBL)—e.g., talent pipeline, community impact, recruitment.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Identify roles and tasks that are suitable for a student (work with your school partner if you need more guidance on suitable tasks).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Determine: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120" w:before="200" w:line="240" w:lineRule="auto"/>
        <w:ind w:left="1440" w:hanging="360"/>
      </w:pPr>
      <w:r w:rsidDel="00000000" w:rsidR="00000000" w:rsidRPr="00000000">
        <w:rPr>
          <w:rtl w:val="0"/>
        </w:rPr>
        <w:t xml:space="preserve">Type of WBL experience (e.g., internship, apprenticeship)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120" w:before="200" w:line="240" w:lineRule="auto"/>
        <w:ind w:left="1440" w:hanging="360"/>
      </w:pPr>
      <w:r w:rsidDel="00000000" w:rsidR="00000000" w:rsidRPr="00000000">
        <w:rPr>
          <w:rtl w:val="0"/>
        </w:rPr>
        <w:t xml:space="preserve">Compensation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120" w:before="200" w:line="240" w:lineRule="auto"/>
        <w:ind w:left="1440" w:hanging="360"/>
      </w:pPr>
      <w:r w:rsidDel="00000000" w:rsidR="00000000" w:rsidRPr="00000000">
        <w:rPr>
          <w:rtl w:val="0"/>
        </w:rPr>
        <w:t xml:space="preserve">Duration and schedule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Estimate the number of students you can support.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Identify a site supervisor/mentor.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Confirm legal and safety requirements (e.g., liability, workers’ compensation, workplace policies).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Connect with your local school partner. </w:t>
      </w:r>
    </w:p>
    <w:p w:rsidR="00000000" w:rsidDel="00000000" w:rsidP="00000000" w:rsidRDefault="00000000" w:rsidRPr="00000000" w14:paraId="0000000D">
      <w:pPr>
        <w:spacing w:after="120" w:before="20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Helpful tip: </w:t>
      </w:r>
      <w:r w:rsidDel="00000000" w:rsidR="00000000" w:rsidRPr="00000000">
        <w:rPr>
          <w:rtl w:val="0"/>
        </w:rPr>
        <w:t xml:space="preserve">Employers are encouraged to align student roles and projects with workforce needs and identify the skills students will develop through the experience.</w:t>
      </w:r>
    </w:p>
    <w:p w:rsidR="00000000" w:rsidDel="00000000" w:rsidP="00000000" w:rsidRDefault="00000000" w:rsidRPr="00000000" w14:paraId="0000000E">
      <w:pPr>
        <w:pStyle w:val="Heading1"/>
        <w:spacing w:after="120" w:before="200" w:line="240" w:lineRule="auto"/>
        <w:rPr/>
      </w:pPr>
      <w:bookmarkStart w:colFirst="0" w:colLast="0" w:name="_heading=h.be909tweejo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spacing w:after="120" w:before="200" w:line="240" w:lineRule="auto"/>
        <w:rPr/>
      </w:pPr>
      <w:bookmarkStart w:colFirst="0" w:colLast="0" w:name="_heading=h.2mq59h8vjidb" w:id="3"/>
      <w:bookmarkEnd w:id="3"/>
      <w:r w:rsidDel="00000000" w:rsidR="00000000" w:rsidRPr="00000000">
        <w:rPr>
          <w:rtl w:val="0"/>
        </w:rPr>
        <w:t xml:space="preserve">Phase 2: Design the Experience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Co-develop learning goals or a training plan with the school partner.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Identify key skills/competencies students will build and demonstrate in the experience.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Outline meaningful work tasks (i.e., not just observation of existing employees).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Plan supervision and feedback structures.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Set clear expectations for attendance, behavior, and performance.</w:t>
      </w:r>
    </w:p>
    <w:p w:rsidR="00000000" w:rsidDel="00000000" w:rsidP="00000000" w:rsidRDefault="00000000" w:rsidRPr="00000000" w14:paraId="00000015">
      <w:pPr>
        <w:spacing w:after="120" w:before="20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Helpful tip</w:t>
      </w:r>
      <w:r w:rsidDel="00000000" w:rsidR="00000000" w:rsidRPr="00000000">
        <w:rPr>
          <w:rtl w:val="0"/>
        </w:rPr>
        <w:t xml:space="preserve">: High-quality WBL includes defined learning objectives and real-world skill application.</w:t>
      </w:r>
    </w:p>
    <w:p w:rsidR="00000000" w:rsidDel="00000000" w:rsidP="00000000" w:rsidRDefault="00000000" w:rsidRPr="00000000" w14:paraId="00000016">
      <w:pPr>
        <w:pStyle w:val="Heading1"/>
        <w:spacing w:after="120" w:before="200" w:line="240" w:lineRule="auto"/>
        <w:rPr/>
      </w:pPr>
      <w:bookmarkStart w:colFirst="0" w:colLast="0" w:name="_heading=h.275pupsdhv09" w:id="4"/>
      <w:bookmarkEnd w:id="4"/>
      <w:r w:rsidDel="00000000" w:rsidR="00000000" w:rsidRPr="00000000">
        <w:rPr>
          <w:rtl w:val="0"/>
        </w:rPr>
        <w:t xml:space="preserve">Phase 3: Recruit and Onboard Students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Review student candidates and conduct interviews (if applicable).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Complete any required agreements and paperwork (e.g., learning/training agreement, memorandum of understanding).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Provide workplace orientation: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spacing w:after="120" w:before="200" w:line="240" w:lineRule="auto"/>
        <w:ind w:left="1440" w:hanging="360"/>
      </w:pPr>
      <w:r w:rsidDel="00000000" w:rsidR="00000000" w:rsidRPr="00000000">
        <w:rPr>
          <w:rtl w:val="0"/>
        </w:rPr>
        <w:t xml:space="preserve">Company overview and culture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spacing w:after="120" w:before="200" w:line="240" w:lineRule="auto"/>
        <w:ind w:left="1440" w:hanging="360"/>
      </w:pPr>
      <w:r w:rsidDel="00000000" w:rsidR="00000000" w:rsidRPr="00000000">
        <w:rPr>
          <w:rtl w:val="0"/>
        </w:rPr>
        <w:t xml:space="preserve">Safety training</w:t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spacing w:after="120" w:before="200" w:line="240" w:lineRule="auto"/>
        <w:ind w:left="1440" w:hanging="360"/>
      </w:pPr>
      <w:r w:rsidDel="00000000" w:rsidR="00000000" w:rsidRPr="00000000">
        <w:rPr>
          <w:rtl w:val="0"/>
        </w:rPr>
        <w:t xml:space="preserve">Job expectations and responsibilities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Introduce the student to team members.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Set schedule and communication norms.</w:t>
      </w:r>
    </w:p>
    <w:p w:rsidR="00000000" w:rsidDel="00000000" w:rsidP="00000000" w:rsidRDefault="00000000" w:rsidRPr="00000000" w14:paraId="0000001F">
      <w:pPr>
        <w:spacing w:after="120" w:before="20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Helpful tip:</w:t>
      </w:r>
      <w:r w:rsidDel="00000000" w:rsidR="00000000" w:rsidRPr="00000000">
        <w:rPr>
          <w:rtl w:val="0"/>
        </w:rPr>
        <w:t xml:space="preserve"> Employers typically complete required agreements and provide an orientation before the experience begins.</w:t>
      </w:r>
    </w:p>
    <w:p w:rsidR="00000000" w:rsidDel="00000000" w:rsidP="00000000" w:rsidRDefault="00000000" w:rsidRPr="00000000" w14:paraId="00000020">
      <w:pPr>
        <w:pStyle w:val="Heading1"/>
        <w:spacing w:after="120" w:before="200" w:line="240" w:lineRule="auto"/>
        <w:rPr/>
      </w:pPr>
      <w:bookmarkStart w:colFirst="0" w:colLast="0" w:name="_heading=h.hvw0xk53slgz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spacing w:after="120" w:before="200" w:line="240" w:lineRule="auto"/>
        <w:rPr/>
      </w:pPr>
      <w:bookmarkStart w:colFirst="0" w:colLast="0" w:name="_heading=h.v6d0yplww9mj" w:id="6"/>
      <w:bookmarkEnd w:id="6"/>
      <w:r w:rsidDel="00000000" w:rsidR="00000000" w:rsidRPr="00000000">
        <w:rPr>
          <w:rtl w:val="0"/>
        </w:rPr>
        <w:t xml:space="preserve">Phase 4: Support, Supervise, Monitor Progress, and Evaluate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Provide ongoing supervision and mentorship.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Conduct regular check-ins (e.g., daily, weekly).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Continue to assign meaningful, skill-building work tasks.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Provide feedback on performance and growth to both the student and the school partner.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Communicate with the school partner as needed.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Track and verify student hours and participation.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Complete periodic evaluations (e.g., monthly, by grading period).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Document skill development and competency demonstration.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Participate in school partner check-ins or site visits.</w:t>
      </w:r>
    </w:p>
    <w:p w:rsidR="00000000" w:rsidDel="00000000" w:rsidP="00000000" w:rsidRDefault="00000000" w:rsidRPr="00000000" w14:paraId="0000002B">
      <w:pPr>
        <w:spacing w:after="120" w:before="20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Helpful tip:</w:t>
      </w:r>
      <w:r w:rsidDel="00000000" w:rsidR="00000000" w:rsidRPr="00000000">
        <w:rPr>
          <w:rtl w:val="0"/>
        </w:rPr>
        <w:t xml:space="preserve"> WBL experiences often include employer evaluations and documentation of student skill development, particularly when students are earning academic credit.</w:t>
      </w:r>
    </w:p>
    <w:p w:rsidR="00000000" w:rsidDel="00000000" w:rsidP="00000000" w:rsidRDefault="00000000" w:rsidRPr="00000000" w14:paraId="0000002C">
      <w:pPr>
        <w:spacing w:after="120" w:before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rPr/>
      </w:pPr>
      <w:bookmarkStart w:colFirst="0" w:colLast="0" w:name="_heading=h.8vu7hj4bfulm" w:id="7"/>
      <w:bookmarkEnd w:id="7"/>
      <w:r w:rsidDel="00000000" w:rsidR="00000000" w:rsidRPr="00000000">
        <w:rPr>
          <w:rtl w:val="0"/>
        </w:rPr>
        <w:t xml:space="preserve">Phase 5: Wrap-Up and Next Steps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Complete a final evaluation. 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Provide feedback to the student and the school partner (be sure to include both strengths and growth areas). 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Participate in a closing conversation or reflection with the student and the school partner.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120" w:before="200" w:line="240" w:lineRule="auto"/>
        <w:ind w:left="720" w:hanging="360"/>
      </w:pPr>
      <w:r w:rsidDel="00000000" w:rsidR="00000000" w:rsidRPr="00000000">
        <w:rPr>
          <w:rtl w:val="0"/>
        </w:rPr>
        <w:t xml:space="preserve">Identify potential next steps:</w:t>
      </w:r>
    </w:p>
    <w:p w:rsidR="00000000" w:rsidDel="00000000" w:rsidP="00000000" w:rsidRDefault="00000000" w:rsidRPr="00000000" w14:paraId="00000032">
      <w:pPr>
        <w:numPr>
          <w:ilvl w:val="1"/>
          <w:numId w:val="5"/>
        </w:numPr>
        <w:spacing w:after="120" w:before="200" w:line="240" w:lineRule="auto"/>
        <w:ind w:left="1440" w:hanging="360"/>
      </w:pPr>
      <w:r w:rsidDel="00000000" w:rsidR="00000000" w:rsidRPr="00000000">
        <w:rPr>
          <w:rtl w:val="0"/>
        </w:rPr>
        <w:t xml:space="preserve">Continued employment </w:t>
      </w:r>
    </w:p>
    <w:p w:rsidR="00000000" w:rsidDel="00000000" w:rsidP="00000000" w:rsidRDefault="00000000" w:rsidRPr="00000000" w14:paraId="00000033">
      <w:pPr>
        <w:numPr>
          <w:ilvl w:val="1"/>
          <w:numId w:val="5"/>
        </w:numPr>
        <w:spacing w:after="120" w:before="200" w:line="240" w:lineRule="auto"/>
        <w:ind w:left="1440" w:hanging="360"/>
      </w:pPr>
      <w:r w:rsidDel="00000000" w:rsidR="00000000" w:rsidRPr="00000000">
        <w:rPr>
          <w:rtl w:val="0"/>
        </w:rPr>
        <w:t xml:space="preserve">Future internship/apprenticeship</w:t>
      </w:r>
    </w:p>
    <w:p w:rsidR="00000000" w:rsidDel="00000000" w:rsidP="00000000" w:rsidRDefault="00000000" w:rsidRPr="00000000" w14:paraId="00000034">
      <w:pPr>
        <w:numPr>
          <w:ilvl w:val="1"/>
          <w:numId w:val="5"/>
        </w:numPr>
        <w:spacing w:after="120" w:before="200" w:line="240" w:lineRule="auto"/>
        <w:ind w:left="1440" w:hanging="360"/>
      </w:pPr>
      <w:r w:rsidDel="00000000" w:rsidR="00000000" w:rsidRPr="00000000">
        <w:rPr>
          <w:rtl w:val="0"/>
        </w:rPr>
        <w:t xml:space="preserve">Recommendation/reference</w:t>
      </w:r>
    </w:p>
    <w:p w:rsidR="00000000" w:rsidDel="00000000" w:rsidP="00000000" w:rsidRDefault="00000000" w:rsidRPr="00000000" w14:paraId="00000035">
      <w:pPr>
        <w:spacing w:after="120" w:before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before="200" w:line="240" w:lineRule="auto"/>
        <w:rPr/>
      </w:pPr>
      <w:r w:rsidDel="00000000" w:rsidR="00000000" w:rsidRPr="00000000">
        <w:rPr>
          <w:rtl w:val="0"/>
        </w:rPr>
        <w:t xml:space="preserve">For more information and employer resources, visit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wbl.ped.nm.gov</w:t>
        </w:r>
      </w:hyperlink>
      <w:r w:rsidDel="00000000" w:rsidR="00000000" w:rsidRPr="00000000">
        <w:rPr>
          <w:rtl w:val="0"/>
        </w:rPr>
        <w:t xml:space="preserve"> . </w:t>
      </w:r>
    </w:p>
    <w:p w:rsidR="00000000" w:rsidDel="00000000" w:rsidP="00000000" w:rsidRDefault="00000000" w:rsidRPr="00000000" w14:paraId="00000037">
      <w:pPr>
        <w:rPr>
          <w:highlight w:val="yellow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25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Barlow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rlow Condensed ExtraBold">
    <w:embedBold w:fontKey="{00000000-0000-0000-0000-000000000000}" r:id="rId5" w:subsetted="0"/>
    <w:embedBoldItalic w:fontKey="{00000000-0000-0000-0000-000000000000}" r:id="rId6" w:subsetted="0"/>
  </w:font>
  <w:font w:name="Barlow Semi Condensed Medium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Barlow Medium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  <w:font w:name="Barlow">
    <w:embedRegular w:fontKey="{00000000-0000-0000-0000-000000000000}" r:id="rId15" w:subsetted="0"/>
    <w:embedBold w:fontKey="{00000000-0000-0000-0000-000000000000}" r:id="rId16" w:subsetted="0"/>
    <w:embedItalic w:fontKey="{00000000-0000-0000-0000-000000000000}" r:id="rId17" w:subsetted="0"/>
    <w:embedBoldItalic w:fontKey="{00000000-0000-0000-0000-000000000000}" r:id="rId18" w:subsetted="0"/>
  </w:font>
  <w:font w:name="Barlow Semi Condensed SemiBold">
    <w:embedRegular w:fontKey="{00000000-0000-0000-0000-000000000000}" r:id="rId19" w:subsetted="0"/>
    <w:embedBold w:fontKey="{00000000-0000-0000-0000-000000000000}" r:id="rId20" w:subsetted="0"/>
    <w:embedItalic w:fontKey="{00000000-0000-0000-0000-000000000000}" r:id="rId21" w:subsetted="0"/>
    <w:embedBoldItalic w:fontKey="{00000000-0000-0000-0000-000000000000}" r:id="rId2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jc w:val="left"/>
      <w:rPr/>
    </w:pPr>
    <w:r w:rsidDel="00000000" w:rsidR="00000000" w:rsidRPr="00000000">
      <w:rPr>
        <w:sz w:val="20"/>
        <w:szCs w:val="20"/>
        <w:rtl w:val="0"/>
      </w:rPr>
      <w:t xml:space="preserve">Work--Based Learning Outreach and Engagement Resources: Employer Onboarding Checklist</w:t>
      <w:tab/>
      <w:t xml:space="preserve">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-905931</wp:posOffset>
          </wp:positionH>
          <wp:positionV relativeFrom="paragraph">
            <wp:posOffset>-474130</wp:posOffset>
          </wp:positionV>
          <wp:extent cx="7791450" cy="1905000"/>
          <wp:effectExtent b="0" l="0" r="0" t="0"/>
          <wp:wrapNone/>
          <wp:docPr descr="Header with a dark green thick curved banner with one thin white arch and one thin orange arch underneath. The New Mexico Publication Education Department logo is underneath the banner. " id="1" name="image1.png"/>
          <a:graphic>
            <a:graphicData uri="http://schemas.openxmlformats.org/drawingml/2006/picture">
              <pic:pic>
                <pic:nvPicPr>
                  <pic:cNvPr descr="Header with a dark green thick curved banner with one thin white arch and one thin orange arch underneath. The New Mexico Publication Education Department logo is underneath the banner. " id="0" name="image1.png"/>
                  <pic:cNvPicPr preferRelativeResize="0"/>
                </pic:nvPicPr>
                <pic:blipFill>
                  <a:blip r:embed="rId1"/>
                  <a:srcRect b="81096" l="0" r="0" t="0"/>
                  <a:stretch>
                    <a:fillRect/>
                  </a:stretch>
                </pic:blipFill>
                <pic:spPr>
                  <a:xfrm>
                    <a:off x="0" y="0"/>
                    <a:ext cx="7791450" cy="190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rlow" w:cs="Barlow" w:eastAsia="Barlow" w:hAnsi="Barlow"/>
        <w:color w:val="030303"/>
        <w:sz w:val="22"/>
        <w:szCs w:val="22"/>
        <w:lang w:val="en"/>
      </w:rPr>
    </w:rPrDefault>
    <w:pPrDefault>
      <w:pPr>
        <w:spacing w:after="120" w:before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240" w:lineRule="auto"/>
    </w:pPr>
    <w:rPr>
      <w:rFonts w:ascii="Barlow Condensed" w:cs="Barlow Condensed" w:eastAsia="Barlow Condensed" w:hAnsi="Barlow Condensed"/>
      <w:b w:val="1"/>
      <w:bCs w:val="1"/>
      <w:color w:val="c64c43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00" w:line="240" w:lineRule="auto"/>
    </w:pPr>
    <w:rPr>
      <w:rFonts w:ascii="Barlow Semi Condensed Medium" w:cs="Barlow Semi Condensed Medium" w:eastAsia="Barlow Semi Condensed Medium" w:hAnsi="Barlow Semi Condensed Medium"/>
      <w:color w:val="245d62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120" w:before="200" w:line="240" w:lineRule="auto"/>
    </w:pPr>
    <w:rPr>
      <w:rFonts w:ascii="Barlow Semi Condensed Medium" w:cs="Barlow Semi Condensed Medium" w:eastAsia="Barlow Semi Condensed Medium" w:hAnsi="Barlow Semi Condensed Medium"/>
      <w:color w:val="c64c43"/>
    </w:rPr>
  </w:style>
  <w:style w:type="paragraph" w:styleId="Heading4">
    <w:name w:val="heading 4"/>
    <w:basedOn w:val="Normal"/>
    <w:next w:val="Normal"/>
    <w:pPr>
      <w:keepNext w:val="1"/>
      <w:keepLines w:val="1"/>
      <w:spacing w:after="120" w:before="200" w:line="240" w:lineRule="auto"/>
    </w:pPr>
    <w:rPr>
      <w:rFonts w:ascii="Barlow Medium" w:cs="Barlow Medium" w:eastAsia="Barlow Medium" w:hAnsi="Barlow Medium"/>
      <w:color w:val="030303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0" w:line="240" w:lineRule="auto"/>
      <w:ind w:left="720" w:hanging="360"/>
      <w:jc w:val="center"/>
    </w:pPr>
    <w:rPr>
      <w:rFonts w:ascii="Barlow Condensed ExtraBold" w:cs="Barlow Condensed ExtraBold" w:eastAsia="Barlow Condensed ExtraBold" w:hAnsi="Barlow Condensed ExtraBold"/>
      <w:color w:val="245d62"/>
      <w:sz w:val="48"/>
      <w:szCs w:val="48"/>
    </w:rPr>
  </w:style>
  <w:style w:type="paragraph" w:styleId="Subtitle">
    <w:name w:val="Subtitle"/>
    <w:basedOn w:val="Normal"/>
    <w:next w:val="Normal"/>
    <w:pPr>
      <w:spacing w:after="120" w:line="240" w:lineRule="auto"/>
    </w:pPr>
    <w:rPr>
      <w:rFonts w:ascii="Barlow Semi Condensed SemiBold" w:cs="Barlow Semi Condensed SemiBold" w:eastAsia="Barlow Semi Condensed SemiBold" w:hAnsi="Barlow Semi Condensed SemiBold"/>
      <w:color w:val="58595b"/>
      <w:sz w:val="36"/>
      <w:szCs w:val="3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bl.ped.nm.gov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BarlowSemiCondensedSemiBold-bold.ttf"/><Relationship Id="rId11" Type="http://schemas.openxmlformats.org/officeDocument/2006/relationships/font" Target="fonts/BarlowMedium-regular.ttf"/><Relationship Id="rId22" Type="http://schemas.openxmlformats.org/officeDocument/2006/relationships/font" Target="fonts/BarlowSemiCondensedSemiBold-boldItalic.ttf"/><Relationship Id="rId10" Type="http://schemas.openxmlformats.org/officeDocument/2006/relationships/font" Target="fonts/BarlowSemiCondensedMedium-boldItalic.ttf"/><Relationship Id="rId21" Type="http://schemas.openxmlformats.org/officeDocument/2006/relationships/font" Target="fonts/BarlowSemiCondensedSemiBold-italic.ttf"/><Relationship Id="rId13" Type="http://schemas.openxmlformats.org/officeDocument/2006/relationships/font" Target="fonts/BarlowMedium-italic.ttf"/><Relationship Id="rId12" Type="http://schemas.openxmlformats.org/officeDocument/2006/relationships/font" Target="fonts/BarlowMedium-bold.ttf"/><Relationship Id="rId1" Type="http://schemas.openxmlformats.org/officeDocument/2006/relationships/font" Target="fonts/BarlowCondensed-regular.ttf"/><Relationship Id="rId2" Type="http://schemas.openxmlformats.org/officeDocument/2006/relationships/font" Target="fonts/BarlowCondensed-bold.ttf"/><Relationship Id="rId3" Type="http://schemas.openxmlformats.org/officeDocument/2006/relationships/font" Target="fonts/BarlowCondensed-italic.ttf"/><Relationship Id="rId4" Type="http://schemas.openxmlformats.org/officeDocument/2006/relationships/font" Target="fonts/BarlowCondensed-boldItalic.ttf"/><Relationship Id="rId9" Type="http://schemas.openxmlformats.org/officeDocument/2006/relationships/font" Target="fonts/BarlowSemiCondensedMedium-italic.ttf"/><Relationship Id="rId15" Type="http://schemas.openxmlformats.org/officeDocument/2006/relationships/font" Target="fonts/Barlow-regular.ttf"/><Relationship Id="rId14" Type="http://schemas.openxmlformats.org/officeDocument/2006/relationships/font" Target="fonts/BarlowMedium-boldItalic.ttf"/><Relationship Id="rId17" Type="http://schemas.openxmlformats.org/officeDocument/2006/relationships/font" Target="fonts/Barlow-italic.ttf"/><Relationship Id="rId16" Type="http://schemas.openxmlformats.org/officeDocument/2006/relationships/font" Target="fonts/Barlow-bold.ttf"/><Relationship Id="rId5" Type="http://schemas.openxmlformats.org/officeDocument/2006/relationships/font" Target="fonts/BarlowCondensedExtraBold-bold.ttf"/><Relationship Id="rId19" Type="http://schemas.openxmlformats.org/officeDocument/2006/relationships/font" Target="fonts/BarlowSemiCondensedSemiBold-regular.ttf"/><Relationship Id="rId6" Type="http://schemas.openxmlformats.org/officeDocument/2006/relationships/font" Target="fonts/BarlowCondensedExtraBold-boldItalic.ttf"/><Relationship Id="rId18" Type="http://schemas.openxmlformats.org/officeDocument/2006/relationships/font" Target="fonts/Barlow-boldItalic.ttf"/><Relationship Id="rId7" Type="http://schemas.openxmlformats.org/officeDocument/2006/relationships/font" Target="fonts/BarlowSemiCondensedMedium-regular.ttf"/><Relationship Id="rId8" Type="http://schemas.openxmlformats.org/officeDocument/2006/relationships/font" Target="fonts/BarlowSemiCondensedMedium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5JJWBCcvoqNl459On5VWoMSkWw==">CgMxLjAyDmguMWx6eHltcDI5OHE0Mg5oLmQ5ZjQ3c3AwdzhjbzIOaC5iZTkwOXR3ZWVqb2UyDmguMm1xNTloOHZqaWRiMg5oLjI3NXB1cHNkaHYwOTIOaC5odncweGs1M3NsZ3oyDmgudjZkMHlwbHd3OW1qMg5oLjh2dTdoajRiZnVsbTgAciExM1NzVkFkSXZTMmc5UW1hWlZSVU1UOW1zcVVvTnhGOGI=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