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516" w:rsidRDefault="00316F9B">
      <w:pPr>
        <w:pStyle w:val="Title"/>
        <w:spacing w:before="0" w:after="200"/>
        <w:ind w:left="0" w:firstLine="0"/>
      </w:pPr>
      <w:bookmarkStart w:id="0" w:name="_heading=h.y48qd9c4x6sb" w:colFirst="0" w:colLast="0"/>
      <w:bookmarkEnd w:id="0"/>
      <w:r>
        <w:t>What Is Work-Based Learning?</w:t>
      </w:r>
    </w:p>
    <w:p w:rsidR="00815516" w:rsidRDefault="00316F9B">
      <w:pPr>
        <w:spacing w:before="280" w:line="276" w:lineRule="auto"/>
      </w:pPr>
      <w:r>
        <w:t>Work-based learning (WBL) in New Mexico connects students with real-world work experiences that help them build the skills and knowledge needed for future careers. These experiences take place in a workplace or a realistic, industry-based setting and are d</w:t>
      </w:r>
      <w:r>
        <w:t>esigned in partnership with employers like you.</w:t>
      </w:r>
    </w:p>
    <w:p w:rsidR="00815516" w:rsidRDefault="00316F9B">
      <w:pPr>
        <w:spacing w:line="276" w:lineRule="auto"/>
      </w:pPr>
      <w:bookmarkStart w:id="1" w:name="_heading=h.2cp21gva3rrz" w:colFirst="0" w:colLast="0"/>
      <w:bookmarkEnd w:id="1"/>
      <w:r>
        <w:t xml:space="preserve">WBL is structured to ensure that students gain meaningful, relevant skills aligned to both </w:t>
      </w:r>
      <w:proofErr w:type="gramStart"/>
      <w:r>
        <w:t>classroom</w:t>
      </w:r>
      <w:proofErr w:type="gramEnd"/>
      <w:r>
        <w:t xml:space="preserve"> learning and industry needs. Each experience includes clear learning goals, guided supervision, and opportu</w:t>
      </w:r>
      <w:r>
        <w:t>nities for students to apply what they are learning in real time. Participation in WBL can also support students’ progress toward graduation by contributing to academic credit and program of study requirements while helping students take the next step towa</w:t>
      </w:r>
      <w:r>
        <w:t>rd college or a career.</w:t>
      </w:r>
    </w:p>
    <w:p w:rsidR="00815516" w:rsidRDefault="00316F9B">
      <w:pPr>
        <w:spacing w:line="276" w:lineRule="auto"/>
      </w:pPr>
      <w:bookmarkStart w:id="2" w:name="_heading=h.2ths559er2ny" w:colFirst="0" w:colLast="0"/>
      <w:bookmarkEnd w:id="2"/>
      <w:r>
        <w:t>WBL experiences can vary in format, length, and setting, ranging from short-term experiences to more immersive, hands-on roles. All experiences are designed to ensure that students gain meaningful, career-relevant skills in a safe a</w:t>
      </w:r>
      <w:r>
        <w:t>nd well-supported environment. Opportunities may be offered in person or virtually through partnerships with employers, community organizations, and educational institutions.</w:t>
      </w:r>
    </w:p>
    <w:p w:rsidR="00815516" w:rsidRDefault="00316F9B">
      <w:pPr>
        <w:spacing w:line="276" w:lineRule="auto"/>
      </w:pPr>
      <w:r>
        <w:t xml:space="preserve">The purpose of WBL is to build students’ awareness of potential careers, support </w:t>
      </w:r>
      <w:r>
        <w:t>their exploration of career opportunities, and prepare them for future employment in New Mexico. These experiences help students make informed decisions about high school coursework, postsecondary education, and career pathways. The New Mexico WBL continuu</w:t>
      </w:r>
      <w:r>
        <w:t>m is organized into four stages—Learning Of, About, For, and Through Work—to illustrate how WBL experiences deepen over time.</w:t>
      </w:r>
    </w:p>
    <w:p w:rsidR="00815516" w:rsidRDefault="00316F9B">
      <w:pPr>
        <w:spacing w:before="0" w:after="0" w:line="276" w:lineRule="auto"/>
        <w:rPr>
          <w:rFonts w:ascii="Montserrat Medium" w:eastAsia="Montserrat Medium" w:hAnsi="Montserrat Medium" w:cs="Montserrat Medium"/>
          <w:color w:val="58595B"/>
          <w:sz w:val="20"/>
          <w:szCs w:val="20"/>
        </w:rPr>
      </w:pPr>
      <w:r>
        <w:rPr>
          <w:rFonts w:ascii="Montserrat Medium" w:eastAsia="Montserrat Medium" w:hAnsi="Montserrat Medium" w:cs="Montserrat Medium"/>
          <w:noProof/>
          <w:color w:val="58595B"/>
          <w:sz w:val="20"/>
          <w:szCs w:val="20"/>
        </w:rPr>
        <w:drawing>
          <wp:inline distT="114300" distB="114300" distL="114300" distR="114300">
            <wp:extent cx="6084376" cy="3205163"/>
            <wp:effectExtent l="0" t="0" r="0" b="0"/>
            <wp:docPr id="2" name="image1.png" descr="Infographic showing a continuum from “education coordinated” to “employer led,” represented by a four-part arc. The first stage, “Learning Of Work: Industry and Career Awareness,” includes career presentations and workplace tours. The second stage, “Learning About Work: Industry and Career Exploration,” includes career competitions, career mentorships, and job shadowing. The third stage, “Learning For Work: Career Preparation,” includes simulated workplace experiences, student-led enterprises, and credit-for-work experiences. The final stage, “Learning Through Work: Career Training,” includes pre-apprenticeships, apprenticeships, and internships. The continuum illustrates increasing employer involvement as learners progress from career awareness and exploration to preparation and hands-on training."/>
            <wp:cNvGraphicFramePr/>
            <a:graphic xmlns:a="http://schemas.openxmlformats.org/drawingml/2006/main">
              <a:graphicData uri="http://schemas.openxmlformats.org/drawingml/2006/picture">
                <pic:pic xmlns:pic="http://schemas.openxmlformats.org/drawingml/2006/picture">
                  <pic:nvPicPr>
                    <pic:cNvPr id="0" name="image1.png" descr="Infographic showing a continuum from “education coordinated” to “employer led,” represented by a four-part arc. The first stage, “Learning Of Work: Industry and Career Awareness,” includes career presentations and workplace tours. The second stage, “Learning About Work: Industry and Career Exploration,” includes career competitions, career mentorships, and job shadowing. The third stage, “Learning For Work: Career Preparation,” includes simulated workplace experiences, student-led enterprises, and credit-for-work experiences. The final stage, “Learning Through Work: Career Training,” includes pre-apprenticeships, apprenticeships, and internships. The continuum illustrates increasing employer involvement as learners progress from career awareness and exploration to preparation and hands-on training."/>
                    <pic:cNvPicPr preferRelativeResize="0"/>
                  </pic:nvPicPr>
                  <pic:blipFill>
                    <a:blip r:embed="rId8"/>
                    <a:srcRect b="14904"/>
                    <a:stretch>
                      <a:fillRect/>
                    </a:stretch>
                  </pic:blipFill>
                  <pic:spPr>
                    <a:xfrm>
                      <a:off x="0" y="0"/>
                      <a:ext cx="6084376" cy="3205163"/>
                    </a:xfrm>
                    <a:prstGeom prst="rect">
                      <a:avLst/>
                    </a:prstGeom>
                    <a:ln/>
                  </pic:spPr>
                </pic:pic>
              </a:graphicData>
            </a:graphic>
          </wp:inline>
        </w:drawing>
      </w:r>
    </w:p>
    <w:p w:rsidR="00815516" w:rsidRDefault="00316F9B">
      <w:pPr>
        <w:pStyle w:val="Heading1"/>
      </w:pPr>
      <w:bookmarkStart w:id="3" w:name="_heading=h.e6x0jpnx7txj" w:colFirst="0" w:colLast="0"/>
      <w:bookmarkEnd w:id="3"/>
      <w:r>
        <w:lastRenderedPageBreak/>
        <w:t xml:space="preserve">Benefits for Employers </w:t>
      </w:r>
    </w:p>
    <w:p w:rsidR="00815516" w:rsidRDefault="00316F9B">
      <w:r>
        <w:t>WBL can be part of your broader talent recruitment strategy. When WBL experiences are designed through i</w:t>
      </w:r>
      <w:r>
        <w:t>ntentional partnerships among schools, employers, the community, and workforce organizations, they offer many benefits:</w:t>
      </w:r>
    </w:p>
    <w:p w:rsidR="00815516" w:rsidRDefault="00316F9B">
      <w:pPr>
        <w:numPr>
          <w:ilvl w:val="0"/>
          <w:numId w:val="2"/>
        </w:numPr>
        <w:spacing w:before="120"/>
      </w:pPr>
      <w:r>
        <w:rPr>
          <w:b/>
          <w:bCs/>
        </w:rPr>
        <w:t>Build a Custom Talent Pipeline</w:t>
      </w:r>
      <w:r>
        <w:t xml:space="preserve">: Stop searching for the “perfect” candidate and start building them. WBL allows you to train students in </w:t>
      </w:r>
      <w:r>
        <w:t>the specific technical skills and company culture your business requires. Gain access to future candidates for part-time, summer, and eventual full-time jobs.</w:t>
      </w:r>
    </w:p>
    <w:p w:rsidR="00815516" w:rsidRDefault="00316F9B">
      <w:pPr>
        <w:numPr>
          <w:ilvl w:val="0"/>
          <w:numId w:val="2"/>
        </w:numPr>
        <w:spacing w:before="120"/>
      </w:pPr>
      <w:r>
        <w:rPr>
          <w:b/>
          <w:bCs/>
        </w:rPr>
        <w:t>Reduce Recruitment and Onboarding Costs</w:t>
      </w:r>
      <w:r>
        <w:t>: Use internships and pre-apprenticeships as “long-term in</w:t>
      </w:r>
      <w:r>
        <w:t xml:space="preserve">terviews.” Employers report that WBL strengthens retention and accelerates skill development, enabling participants to become productive team members more quickly than traditional hires. </w:t>
      </w:r>
    </w:p>
    <w:p w:rsidR="00815516" w:rsidRDefault="00316F9B">
      <w:pPr>
        <w:numPr>
          <w:ilvl w:val="0"/>
          <w:numId w:val="2"/>
        </w:numPr>
        <w:spacing w:before="120"/>
      </w:pPr>
      <w:r>
        <w:rPr>
          <w:b/>
          <w:bCs/>
        </w:rPr>
        <w:t>Spark Innovation</w:t>
      </w:r>
      <w:r>
        <w:t>: Benefit from young adults who bring a tech-savvy m</w:t>
      </w:r>
      <w:r>
        <w:t>indset and fresh ideas that can help accelerate progress and modernize approaches.</w:t>
      </w:r>
    </w:p>
    <w:p w:rsidR="00815516" w:rsidRDefault="00316F9B">
      <w:pPr>
        <w:numPr>
          <w:ilvl w:val="0"/>
          <w:numId w:val="2"/>
        </w:numPr>
        <w:spacing w:before="120"/>
      </w:pPr>
      <w:r>
        <w:rPr>
          <w:b/>
          <w:bCs/>
        </w:rPr>
        <w:t>Strengthen Community Presence</w:t>
      </w:r>
      <w:r>
        <w:t>: Position your company as a leader in New Mexico’s economic growth. Supporting local students and schools builds brand loyalty and creates a po</w:t>
      </w:r>
      <w:r>
        <w:t>sitive public image for your business.</w:t>
      </w:r>
    </w:p>
    <w:p w:rsidR="00815516" w:rsidRDefault="00316F9B">
      <w:pPr>
        <w:numPr>
          <w:ilvl w:val="0"/>
          <w:numId w:val="2"/>
        </w:numPr>
        <w:spacing w:before="120"/>
      </w:pPr>
      <w:r>
        <w:rPr>
          <w:b/>
          <w:bCs/>
        </w:rPr>
        <w:t>Grow Your Own Local Workforce</w:t>
      </w:r>
      <w:r>
        <w:t>: Influence talent attraction and retention by demonstrating viable employment opportunities that encourage young adults to stay in their local communities to meet workforce needs.</w:t>
      </w:r>
    </w:p>
    <w:p w:rsidR="00815516" w:rsidRDefault="00316F9B">
      <w:pPr>
        <w:spacing w:before="120"/>
      </w:pPr>
      <w:r>
        <w:t>WBL als</w:t>
      </w:r>
      <w:r>
        <w:t>o provides indirect benefits that help improve the performance of your existing workforce:</w:t>
      </w:r>
    </w:p>
    <w:p w:rsidR="00815516" w:rsidRDefault="00316F9B">
      <w:pPr>
        <w:numPr>
          <w:ilvl w:val="0"/>
          <w:numId w:val="3"/>
        </w:numPr>
        <w:spacing w:before="120"/>
      </w:pPr>
      <w:r>
        <w:rPr>
          <w:b/>
          <w:bCs/>
        </w:rPr>
        <w:t>Cultivate Emerging Leaders</w:t>
      </w:r>
      <w:r>
        <w:t>: Mentoring a student provides your mid-level employees with a practical, low-stakes environment to refine their management, communication,</w:t>
      </w:r>
      <w:r>
        <w:t xml:space="preserve"> and coaching skills.</w:t>
      </w:r>
    </w:p>
    <w:p w:rsidR="00815516" w:rsidRDefault="00316F9B">
      <w:pPr>
        <w:numPr>
          <w:ilvl w:val="0"/>
          <w:numId w:val="3"/>
        </w:numPr>
        <w:spacing w:before="120"/>
      </w:pPr>
      <w:r>
        <w:rPr>
          <w:b/>
          <w:bCs/>
        </w:rPr>
        <w:t>Renew Employees’ Sense of Purpose and Engagement</w:t>
      </w:r>
      <w:r>
        <w:t>: Connecting with students reminds employees of why they chose their career path, reigniting their own passion for the industry through the eyes of a newcomer.</w:t>
      </w:r>
    </w:p>
    <w:p w:rsidR="00815516" w:rsidRDefault="00316F9B">
      <w:pPr>
        <w:pStyle w:val="Heading1"/>
        <w:spacing w:before="200" w:after="200"/>
      </w:pPr>
      <w:bookmarkStart w:id="4" w:name="_heading=h.uc70qq5gmkoe" w:colFirst="0" w:colLast="0"/>
      <w:bookmarkEnd w:id="4"/>
      <w:r>
        <w:t xml:space="preserve">Benefits for Students  </w:t>
      </w:r>
    </w:p>
    <w:p w:rsidR="00815516" w:rsidRDefault="00316F9B">
      <w:r>
        <w:t>St</w:t>
      </w:r>
      <w:r>
        <w:t>udents benefit from employer engagement in WBL by deepening their learning, applying academic and technical knowledge in real-world settings, and gaining opportunities to:</w:t>
      </w:r>
    </w:p>
    <w:p w:rsidR="00815516" w:rsidRDefault="00316F9B">
      <w:pPr>
        <w:numPr>
          <w:ilvl w:val="0"/>
          <w:numId w:val="1"/>
        </w:numPr>
        <w:spacing w:before="120"/>
      </w:pPr>
      <w:r>
        <w:rPr>
          <w:b/>
          <w:bCs/>
        </w:rPr>
        <w:t>Clarify Career Goals</w:t>
      </w:r>
      <w:r>
        <w:t>: Students explore career pathways firsthand to make informed de</w:t>
      </w:r>
      <w:r>
        <w:t>cisions about future education and employment.</w:t>
      </w:r>
    </w:p>
    <w:p w:rsidR="00815516" w:rsidRDefault="00316F9B">
      <w:pPr>
        <w:numPr>
          <w:ilvl w:val="0"/>
          <w:numId w:val="1"/>
        </w:numPr>
        <w:spacing w:before="120"/>
      </w:pPr>
      <w:r>
        <w:rPr>
          <w:b/>
          <w:bCs/>
        </w:rPr>
        <w:t>Master In-Demand Skills</w:t>
      </w:r>
      <w:r>
        <w:t>: Students develop the professional and technical competencies required by modern New Mexico industries.</w:t>
      </w:r>
    </w:p>
    <w:p w:rsidR="00815516" w:rsidRDefault="00316F9B">
      <w:pPr>
        <w:numPr>
          <w:ilvl w:val="0"/>
          <w:numId w:val="1"/>
        </w:numPr>
        <w:spacing w:before="120"/>
      </w:pPr>
      <w:r>
        <w:rPr>
          <w:b/>
          <w:bCs/>
        </w:rPr>
        <w:t>Expand Professional Networks</w:t>
      </w:r>
      <w:r>
        <w:t>: Students gain access to mentors and job opportuniti</w:t>
      </w:r>
      <w:r>
        <w:t>es that lead to higher paying roles and smoother transitions into the workforce.</w:t>
      </w:r>
    </w:p>
    <w:p w:rsidR="00815516" w:rsidRDefault="00316F9B">
      <w:pPr>
        <w:pStyle w:val="Heading1"/>
        <w:spacing w:before="200" w:after="200"/>
      </w:pPr>
      <w:bookmarkStart w:id="5" w:name="_heading=h.2g69z14n9lek" w:colFirst="0" w:colLast="0"/>
      <w:bookmarkEnd w:id="5"/>
      <w:r>
        <w:lastRenderedPageBreak/>
        <w:t>YOUR Role as the Employer</w:t>
      </w:r>
    </w:p>
    <w:p w:rsidR="00815516" w:rsidRDefault="00316F9B">
      <w:pPr>
        <w:spacing w:line="276" w:lineRule="auto"/>
      </w:pPr>
      <w:r>
        <w:t>Employers play a critical role in connecting students to their future careers. Through WBL, you help students build both technical and professional skills while reinforcing workplace safety. Employers can engage in a variety of ways, such as serving as gue</w:t>
      </w:r>
      <w:r>
        <w:t xml:space="preserve">st speakers, hosting workplace tours, mentoring students, and providing hands-on learning experiences. These interactions offer valuable guidance, set high expectations, and help students develop industry-relevant skills. The following are examples of WBL </w:t>
      </w:r>
      <w:r>
        <w:t>experiences and the typical time commitments associated with each:</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16"/>
        <w:gridCol w:w="2016"/>
        <w:gridCol w:w="2016"/>
        <w:gridCol w:w="2016"/>
        <w:gridCol w:w="2016"/>
      </w:tblGrid>
      <w:tr w:rsidR="00815516" w:rsidTr="00176E13">
        <w:trPr>
          <w:trHeight w:val="420"/>
        </w:trPr>
        <w:tc>
          <w:tcPr>
            <w:tcW w:w="10080" w:type="dxa"/>
            <w:gridSpan w:val="5"/>
            <w:tcBorders>
              <w:top w:val="nil"/>
              <w:left w:val="nil"/>
              <w:bottom w:val="nil"/>
              <w:right w:val="nil"/>
            </w:tcBorders>
            <w:shd w:val="clear" w:color="auto" w:fill="auto"/>
            <w:tcMar>
              <w:top w:w="100" w:type="dxa"/>
              <w:left w:w="100" w:type="dxa"/>
              <w:bottom w:w="100" w:type="dxa"/>
              <w:right w:w="100" w:type="dxa"/>
            </w:tcMar>
          </w:tcPr>
          <w:p w:rsidR="00815516" w:rsidRDefault="00316F9B">
            <w:pPr>
              <w:widowControl w:val="0"/>
              <w:spacing w:before="0" w:after="0"/>
              <w:ind w:left="-90"/>
              <w:rPr>
                <w:rFonts w:ascii="Barlow Condensed" w:eastAsia="Barlow Condensed" w:hAnsi="Barlow Condensed" w:cs="Barlow Condensed"/>
                <w:b/>
                <w:bCs/>
                <w:color w:val="C64C43"/>
                <w:sz w:val="32"/>
                <w:szCs w:val="32"/>
              </w:rPr>
            </w:pPr>
            <w:r>
              <w:rPr>
                <w:rFonts w:ascii="Barlow Condensed" w:eastAsia="Barlow Condensed" w:hAnsi="Barlow Condensed" w:cs="Barlow Condensed"/>
                <w:b/>
                <w:bCs/>
                <w:color w:val="C64C43"/>
                <w:sz w:val="32"/>
                <w:szCs w:val="32"/>
              </w:rPr>
              <w:t>Employer Partner Engagement and Responsibility Matrix</w:t>
            </w:r>
          </w:p>
          <w:p w:rsidR="00815516" w:rsidRDefault="00316F9B">
            <w:pPr>
              <w:spacing w:line="276" w:lineRule="auto"/>
              <w:ind w:left="-90"/>
              <w:rPr>
                <w:rFonts w:ascii="Barlow Condensed" w:eastAsia="Barlow Condensed" w:hAnsi="Barlow Condensed" w:cs="Barlow Condensed"/>
                <w:b/>
                <w:bCs/>
                <w:color w:val="C64C43"/>
                <w:sz w:val="32"/>
                <w:szCs w:val="32"/>
              </w:rPr>
            </w:pPr>
            <w:r>
              <w:t>The following matrix outlines a range of WBL experiences across different levels of time, respon</w:t>
            </w:r>
            <w:bookmarkStart w:id="6" w:name="_GoBack"/>
            <w:bookmarkEnd w:id="6"/>
            <w:r>
              <w:t xml:space="preserve">sibility, and partnership commitment. </w:t>
            </w:r>
          </w:p>
        </w:tc>
      </w:tr>
      <w:tr w:rsidR="00815516" w:rsidTr="00176E13">
        <w:tc>
          <w:tcPr>
            <w:tcW w:w="2016" w:type="dxa"/>
            <w:tcBorders>
              <w:top w:val="nil"/>
              <w:left w:val="single" w:sz="8" w:space="0" w:color="FFFFFF"/>
              <w:bottom w:val="single" w:sz="24" w:space="0" w:color="EDC872"/>
              <w:right w:val="single" w:sz="24" w:space="0" w:color="245D62"/>
            </w:tcBorders>
            <w:shd w:val="clear" w:color="auto" w:fill="FFFFFF"/>
            <w:tcMar>
              <w:top w:w="100" w:type="dxa"/>
              <w:left w:w="100" w:type="dxa"/>
              <w:bottom w:w="100" w:type="dxa"/>
              <w:right w:w="100" w:type="dxa"/>
            </w:tcMar>
          </w:tcPr>
          <w:p w:rsidR="00815516" w:rsidRDefault="00815516">
            <w:pPr>
              <w:widowControl w:val="0"/>
              <w:pBdr>
                <w:top w:val="nil"/>
                <w:left w:val="nil"/>
                <w:bottom w:val="nil"/>
                <w:right w:val="nil"/>
                <w:between w:val="nil"/>
              </w:pBdr>
              <w:spacing w:before="0" w:after="0"/>
              <w:jc w:val="center"/>
              <w:rPr>
                <w:b/>
                <w:bCs/>
                <w:color w:val="245D62"/>
              </w:rPr>
            </w:pPr>
          </w:p>
          <w:p w:rsidR="00815516" w:rsidRDefault="00815516">
            <w:pPr>
              <w:widowControl w:val="0"/>
              <w:pBdr>
                <w:top w:val="nil"/>
                <w:left w:val="nil"/>
                <w:bottom w:val="nil"/>
                <w:right w:val="nil"/>
                <w:between w:val="nil"/>
              </w:pBdr>
              <w:spacing w:before="0" w:after="0"/>
              <w:jc w:val="center"/>
              <w:rPr>
                <w:b/>
                <w:bCs/>
                <w:color w:val="245D62"/>
              </w:rPr>
            </w:pPr>
          </w:p>
        </w:tc>
        <w:tc>
          <w:tcPr>
            <w:tcW w:w="2016" w:type="dxa"/>
            <w:tcBorders>
              <w:top w:val="nil"/>
              <w:left w:val="single" w:sz="24" w:space="0" w:color="245D62"/>
              <w:bottom w:val="single" w:sz="24" w:space="0" w:color="EDC872"/>
            </w:tcBorders>
            <w:shd w:val="clear" w:color="auto" w:fill="245D6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color w:val="FFFFFF"/>
              </w:rPr>
            </w:pPr>
            <w:r>
              <w:rPr>
                <w:b/>
                <w:bCs/>
                <w:color w:val="FFFFFF"/>
              </w:rPr>
              <w:t>Supporting</w:t>
            </w:r>
          </w:p>
          <w:p w:rsidR="00815516" w:rsidRDefault="00316F9B">
            <w:pPr>
              <w:widowControl w:val="0"/>
              <w:pBdr>
                <w:top w:val="nil"/>
                <w:left w:val="nil"/>
                <w:bottom w:val="nil"/>
                <w:right w:val="nil"/>
                <w:between w:val="nil"/>
              </w:pBdr>
              <w:spacing w:before="0" w:after="0"/>
              <w:jc w:val="center"/>
              <w:rPr>
                <w:b/>
                <w:bCs/>
                <w:color w:val="FFFFFF"/>
              </w:rPr>
            </w:pPr>
            <w:r>
              <w:rPr>
                <w:b/>
                <w:bCs/>
                <w:color w:val="FFFFFF"/>
              </w:rPr>
              <w:t>(Hours)</w:t>
            </w:r>
          </w:p>
        </w:tc>
        <w:tc>
          <w:tcPr>
            <w:tcW w:w="2016" w:type="dxa"/>
            <w:tcBorders>
              <w:top w:val="nil"/>
              <w:bottom w:val="single" w:sz="24" w:space="0" w:color="EDC872"/>
            </w:tcBorders>
            <w:shd w:val="clear" w:color="auto" w:fill="245D6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color w:val="FFFFFF"/>
              </w:rPr>
            </w:pPr>
            <w:r>
              <w:rPr>
                <w:b/>
                <w:bCs/>
                <w:color w:val="FFFFFF"/>
              </w:rPr>
              <w:t>Partnering</w:t>
            </w:r>
          </w:p>
          <w:p w:rsidR="00815516" w:rsidRDefault="00316F9B">
            <w:pPr>
              <w:widowControl w:val="0"/>
              <w:pBdr>
                <w:top w:val="nil"/>
                <w:left w:val="nil"/>
                <w:bottom w:val="nil"/>
                <w:right w:val="nil"/>
                <w:between w:val="nil"/>
              </w:pBdr>
              <w:spacing w:before="0" w:after="0"/>
              <w:jc w:val="center"/>
              <w:rPr>
                <w:b/>
                <w:bCs/>
                <w:color w:val="FFFFFF"/>
              </w:rPr>
            </w:pPr>
            <w:r>
              <w:rPr>
                <w:b/>
                <w:bCs/>
                <w:color w:val="FFFFFF"/>
              </w:rPr>
              <w:t>(Days)</w:t>
            </w:r>
          </w:p>
        </w:tc>
        <w:tc>
          <w:tcPr>
            <w:tcW w:w="2016" w:type="dxa"/>
            <w:tcBorders>
              <w:top w:val="nil"/>
              <w:bottom w:val="single" w:sz="24" w:space="0" w:color="EDC872"/>
            </w:tcBorders>
            <w:shd w:val="clear" w:color="auto" w:fill="245D6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color w:val="FFFFFF"/>
              </w:rPr>
            </w:pPr>
            <w:r>
              <w:rPr>
                <w:b/>
                <w:bCs/>
                <w:color w:val="FFFFFF"/>
              </w:rPr>
              <w:t>Leading</w:t>
            </w:r>
          </w:p>
          <w:p w:rsidR="00815516" w:rsidRDefault="00316F9B">
            <w:pPr>
              <w:widowControl w:val="0"/>
              <w:pBdr>
                <w:top w:val="nil"/>
                <w:left w:val="nil"/>
                <w:bottom w:val="nil"/>
                <w:right w:val="nil"/>
                <w:between w:val="nil"/>
              </w:pBdr>
              <w:spacing w:before="0" w:after="0"/>
              <w:jc w:val="center"/>
              <w:rPr>
                <w:b/>
                <w:bCs/>
                <w:color w:val="FFFFFF"/>
              </w:rPr>
            </w:pPr>
            <w:r>
              <w:rPr>
                <w:b/>
                <w:bCs/>
                <w:color w:val="FFFFFF"/>
              </w:rPr>
              <w:t>(Weeks)</w:t>
            </w:r>
          </w:p>
        </w:tc>
        <w:tc>
          <w:tcPr>
            <w:tcW w:w="2016" w:type="dxa"/>
            <w:tcBorders>
              <w:top w:val="nil"/>
              <w:bottom w:val="single" w:sz="24" w:space="0" w:color="EDC872"/>
              <w:right w:val="single" w:sz="24" w:space="0" w:color="245D62"/>
            </w:tcBorders>
            <w:shd w:val="clear" w:color="auto" w:fill="245D6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color w:val="FFFFFF"/>
              </w:rPr>
            </w:pPr>
            <w:r>
              <w:rPr>
                <w:b/>
                <w:bCs/>
                <w:color w:val="FFFFFF"/>
              </w:rPr>
              <w:t>Championing</w:t>
            </w:r>
          </w:p>
          <w:p w:rsidR="00815516" w:rsidRDefault="00316F9B">
            <w:pPr>
              <w:widowControl w:val="0"/>
              <w:pBdr>
                <w:top w:val="nil"/>
                <w:left w:val="nil"/>
                <w:bottom w:val="nil"/>
                <w:right w:val="nil"/>
                <w:between w:val="nil"/>
              </w:pBdr>
              <w:spacing w:before="0" w:after="0"/>
              <w:jc w:val="center"/>
              <w:rPr>
                <w:b/>
                <w:bCs/>
                <w:color w:val="FFFFFF"/>
              </w:rPr>
            </w:pPr>
            <w:r>
              <w:rPr>
                <w:b/>
                <w:bCs/>
                <w:color w:val="FFFFFF"/>
              </w:rPr>
              <w:t>(Months)</w:t>
            </w:r>
          </w:p>
        </w:tc>
      </w:tr>
      <w:tr w:rsidR="00815516" w:rsidTr="00FB0923">
        <w:tc>
          <w:tcPr>
            <w:tcW w:w="2016" w:type="dxa"/>
            <w:tcBorders>
              <w:top w:val="single" w:sz="24" w:space="0" w:color="EDC872"/>
              <w:left w:val="single" w:sz="24" w:space="0" w:color="EDC872"/>
              <w:bottom w:val="single" w:sz="24" w:space="0" w:color="F4784E"/>
            </w:tcBorders>
            <w:shd w:val="clear" w:color="auto" w:fill="EDC87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rPr>
                <w:b/>
                <w:bCs/>
                <w:i/>
                <w:iCs/>
              </w:rPr>
            </w:pPr>
            <w:r>
              <w:rPr>
                <w:b/>
                <w:bCs/>
                <w:i/>
                <w:iCs/>
              </w:rPr>
              <w:t xml:space="preserve">Learning </w:t>
            </w:r>
            <w:proofErr w:type="gramStart"/>
            <w:r>
              <w:rPr>
                <w:b/>
                <w:bCs/>
                <w:i/>
                <w:iCs/>
              </w:rPr>
              <w:t>Of</w:t>
            </w:r>
            <w:proofErr w:type="gramEnd"/>
            <w:r>
              <w:rPr>
                <w:b/>
                <w:bCs/>
                <w:i/>
                <w:iCs/>
              </w:rPr>
              <w:t xml:space="preserve"> Work</w:t>
            </w:r>
          </w:p>
          <w:p w:rsidR="00815516" w:rsidRDefault="00316F9B">
            <w:pPr>
              <w:widowControl w:val="0"/>
              <w:pBdr>
                <w:top w:val="nil"/>
                <w:left w:val="nil"/>
                <w:bottom w:val="nil"/>
                <w:right w:val="nil"/>
                <w:between w:val="nil"/>
              </w:pBdr>
              <w:spacing w:before="0" w:after="0"/>
            </w:pPr>
            <w:r>
              <w:t>(Industry and Career Awareness)</w:t>
            </w:r>
          </w:p>
        </w:tc>
        <w:tc>
          <w:tcPr>
            <w:tcW w:w="2016" w:type="dxa"/>
            <w:tcBorders>
              <w:top w:val="single" w:sz="24" w:space="0" w:color="EDC872"/>
              <w:bottom w:val="single" w:sz="24" w:space="0" w:color="F4784E"/>
            </w:tcBorders>
            <w:shd w:val="clear" w:color="auto" w:fill="FCF6E6"/>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b/>
                <w:bCs/>
              </w:rPr>
              <w:t>Workplace Tour</w:t>
            </w:r>
            <w:r>
              <w:t xml:space="preserve"> </w:t>
            </w:r>
            <w:r>
              <w:rPr>
                <w:rFonts w:ascii="Barlow Medium" w:eastAsia="Barlow Medium" w:hAnsi="Barlow Medium" w:cs="Barlow Medium"/>
                <w:i/>
                <w:iCs/>
                <w:sz w:val="20"/>
                <w:szCs w:val="20"/>
              </w:rPr>
              <w:t>(1.5-2 hours)</w:t>
            </w:r>
          </w:p>
        </w:tc>
        <w:tc>
          <w:tcPr>
            <w:tcW w:w="2016" w:type="dxa"/>
            <w:tcBorders>
              <w:top w:val="single" w:sz="24" w:space="0" w:color="EDC872"/>
              <w:bottom w:val="single" w:sz="24" w:space="0" w:color="F4784E"/>
            </w:tcBorders>
            <w:shd w:val="clear" w:color="auto" w:fill="FCF6E6"/>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Career Presentation</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(2-4 hours)</w:t>
            </w:r>
          </w:p>
        </w:tc>
        <w:tc>
          <w:tcPr>
            <w:tcW w:w="2016" w:type="dxa"/>
            <w:tcBorders>
              <w:top w:val="single" w:sz="24" w:space="0" w:color="EDC872"/>
              <w:bottom w:val="single" w:sz="24" w:space="0" w:color="F4784E"/>
            </w:tcBorders>
            <w:shd w:val="clear" w:color="auto" w:fill="FCF6E6"/>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Guest Speaker Series</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(15 hours per semester)</w:t>
            </w:r>
          </w:p>
        </w:tc>
        <w:tc>
          <w:tcPr>
            <w:tcW w:w="2016" w:type="dxa"/>
            <w:tcBorders>
              <w:top w:val="single" w:sz="24" w:space="0" w:color="EDC872"/>
              <w:bottom w:val="single" w:sz="24" w:space="0" w:color="F4784E"/>
              <w:right w:val="single" w:sz="24" w:space="0" w:color="EDC872"/>
            </w:tcBorders>
            <w:shd w:val="clear" w:color="auto" w:fill="FCF6E6"/>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Themed Project</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(24+ hours)</w:t>
            </w:r>
          </w:p>
        </w:tc>
      </w:tr>
      <w:tr w:rsidR="00815516" w:rsidTr="00FB0923">
        <w:tc>
          <w:tcPr>
            <w:tcW w:w="2016" w:type="dxa"/>
            <w:tcBorders>
              <w:top w:val="single" w:sz="24" w:space="0" w:color="F4784E"/>
              <w:left w:val="single" w:sz="24" w:space="0" w:color="F4784E"/>
              <w:bottom w:val="single" w:sz="24" w:space="0" w:color="C64C43"/>
            </w:tcBorders>
            <w:shd w:val="clear" w:color="auto" w:fill="F4784E"/>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pPr>
            <w:r>
              <w:rPr>
                <w:b/>
                <w:bCs/>
                <w:i/>
                <w:iCs/>
              </w:rPr>
              <w:t>Learning About Work</w:t>
            </w:r>
            <w:r>
              <w:rPr>
                <w:b/>
                <w:bCs/>
              </w:rPr>
              <w:t xml:space="preserve"> </w:t>
            </w:r>
            <w:r>
              <w:t>(Industry and Career Exploration)</w:t>
            </w:r>
          </w:p>
        </w:tc>
        <w:tc>
          <w:tcPr>
            <w:tcW w:w="2016" w:type="dxa"/>
            <w:tcBorders>
              <w:top w:val="single" w:sz="24" w:space="0" w:color="F4784E"/>
              <w:bottom w:val="single" w:sz="24" w:space="0" w:color="C64C43"/>
            </w:tcBorders>
            <w:shd w:val="clear" w:color="auto" w:fill="FEEB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Informational Interview</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 xml:space="preserve"> (30-90 minutes)</w:t>
            </w:r>
          </w:p>
        </w:tc>
        <w:tc>
          <w:tcPr>
            <w:tcW w:w="2016" w:type="dxa"/>
            <w:tcBorders>
              <w:top w:val="single" w:sz="24" w:space="0" w:color="F4784E"/>
              <w:bottom w:val="single" w:sz="24" w:space="0" w:color="C64C43"/>
            </w:tcBorders>
            <w:shd w:val="clear" w:color="auto" w:fill="FEEB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Job Shadowing</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(4-8 hours)</w:t>
            </w:r>
          </w:p>
        </w:tc>
        <w:tc>
          <w:tcPr>
            <w:tcW w:w="2016" w:type="dxa"/>
            <w:tcBorders>
              <w:top w:val="single" w:sz="24" w:space="0" w:color="F4784E"/>
              <w:bottom w:val="single" w:sz="24" w:space="0" w:color="C64C43"/>
            </w:tcBorders>
            <w:shd w:val="clear" w:color="auto" w:fill="FEEB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Career Competition</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(2-15 hours)</w:t>
            </w:r>
          </w:p>
        </w:tc>
        <w:tc>
          <w:tcPr>
            <w:tcW w:w="2016" w:type="dxa"/>
            <w:tcBorders>
              <w:top w:val="single" w:sz="24" w:space="0" w:color="F4784E"/>
              <w:bottom w:val="single" w:sz="24" w:space="0" w:color="C64C43"/>
              <w:right w:val="single" w:sz="24" w:space="0" w:color="F4784E"/>
            </w:tcBorders>
            <w:shd w:val="clear" w:color="auto" w:fill="FEEB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Career Mentorship</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(45+ hours)</w:t>
            </w:r>
          </w:p>
        </w:tc>
      </w:tr>
      <w:tr w:rsidR="00815516" w:rsidTr="00FB0923">
        <w:tc>
          <w:tcPr>
            <w:tcW w:w="2016" w:type="dxa"/>
            <w:tcBorders>
              <w:top w:val="single" w:sz="24" w:space="0" w:color="C64C43"/>
              <w:left w:val="single" w:sz="24" w:space="0" w:color="C64C43"/>
              <w:bottom w:val="single" w:sz="24" w:space="0" w:color="245D62"/>
            </w:tcBorders>
            <w:shd w:val="clear" w:color="auto" w:fill="C64C43"/>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rPr>
                <w:b/>
                <w:bCs/>
                <w:i/>
                <w:iCs/>
                <w:color w:val="FFFFFF"/>
              </w:rPr>
            </w:pPr>
            <w:r>
              <w:rPr>
                <w:b/>
                <w:bCs/>
                <w:i/>
                <w:iCs/>
                <w:color w:val="FFFFFF"/>
              </w:rPr>
              <w:t xml:space="preserve">Learning </w:t>
            </w:r>
            <w:proofErr w:type="gramStart"/>
            <w:r>
              <w:rPr>
                <w:b/>
                <w:bCs/>
                <w:i/>
                <w:iCs/>
                <w:color w:val="FFFFFF"/>
              </w:rPr>
              <w:t>For</w:t>
            </w:r>
            <w:proofErr w:type="gramEnd"/>
            <w:r>
              <w:rPr>
                <w:b/>
                <w:bCs/>
                <w:i/>
                <w:iCs/>
                <w:color w:val="FFFFFF"/>
              </w:rPr>
              <w:t xml:space="preserve"> Work</w:t>
            </w:r>
          </w:p>
          <w:p w:rsidR="00815516" w:rsidRDefault="00316F9B">
            <w:pPr>
              <w:widowControl w:val="0"/>
              <w:pBdr>
                <w:top w:val="nil"/>
                <w:left w:val="nil"/>
                <w:bottom w:val="nil"/>
                <w:right w:val="nil"/>
                <w:between w:val="nil"/>
              </w:pBdr>
              <w:spacing w:before="0" w:after="0"/>
              <w:rPr>
                <w:color w:val="FFFFFF"/>
              </w:rPr>
            </w:pPr>
            <w:r>
              <w:rPr>
                <w:color w:val="FFFFFF"/>
              </w:rPr>
              <w:t>(Career Preparation)</w:t>
            </w:r>
          </w:p>
        </w:tc>
        <w:tc>
          <w:tcPr>
            <w:tcW w:w="2016" w:type="dxa"/>
            <w:tcBorders>
              <w:top w:val="single" w:sz="24" w:space="0" w:color="C64C43"/>
              <w:bottom w:val="single" w:sz="24" w:space="0" w:color="245D62"/>
            </w:tcBorders>
            <w:shd w:val="clear" w:color="auto" w:fill="F8E4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Resume Development / Mock Interview</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(1-2 hours)</w:t>
            </w:r>
          </w:p>
        </w:tc>
        <w:tc>
          <w:tcPr>
            <w:tcW w:w="2016" w:type="dxa"/>
            <w:tcBorders>
              <w:top w:val="single" w:sz="24" w:space="0" w:color="C64C43"/>
              <w:bottom w:val="single" w:sz="24" w:space="0" w:color="245D62"/>
            </w:tcBorders>
            <w:shd w:val="clear" w:color="auto" w:fill="F8E4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Simulated Workplace Experience</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(8-15 hours)</w:t>
            </w:r>
          </w:p>
        </w:tc>
        <w:tc>
          <w:tcPr>
            <w:tcW w:w="2016" w:type="dxa"/>
            <w:tcBorders>
              <w:top w:val="single" w:sz="24" w:space="0" w:color="C64C43"/>
              <w:bottom w:val="single" w:sz="24" w:space="0" w:color="245D62"/>
            </w:tcBorders>
            <w:shd w:val="clear" w:color="auto" w:fill="F8E4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Student-Led Enterprise</w:t>
            </w:r>
          </w:p>
          <w:p w:rsidR="00815516" w:rsidRDefault="00316F9B">
            <w:pPr>
              <w:widowControl w:val="0"/>
              <w:pBdr>
                <w:top w:val="nil"/>
                <w:left w:val="nil"/>
                <w:bottom w:val="nil"/>
                <w:right w:val="nil"/>
                <w:between w:val="nil"/>
              </w:pBdr>
              <w:spacing w:before="0" w:after="0"/>
              <w:jc w:val="center"/>
              <w:rPr>
                <w:i/>
                <w:iCs/>
                <w:sz w:val="20"/>
                <w:szCs w:val="20"/>
              </w:rPr>
            </w:pPr>
            <w:r>
              <w:rPr>
                <w:i/>
                <w:iCs/>
                <w:sz w:val="20"/>
                <w:szCs w:val="20"/>
              </w:rPr>
              <w:t>(15 hours)</w:t>
            </w:r>
          </w:p>
        </w:tc>
        <w:tc>
          <w:tcPr>
            <w:tcW w:w="2016" w:type="dxa"/>
            <w:tcBorders>
              <w:top w:val="single" w:sz="24" w:space="0" w:color="C64C43"/>
              <w:bottom w:val="single" w:sz="24" w:space="0" w:color="245D62"/>
              <w:right w:val="single" w:sz="24" w:space="0" w:color="C64C43"/>
            </w:tcBorders>
            <w:shd w:val="clear" w:color="auto" w:fill="F8E4E5"/>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Service Learning</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(2-90 hours)</w:t>
            </w:r>
          </w:p>
        </w:tc>
      </w:tr>
      <w:tr w:rsidR="00815516" w:rsidTr="00FB0923">
        <w:tc>
          <w:tcPr>
            <w:tcW w:w="2016" w:type="dxa"/>
            <w:tcBorders>
              <w:top w:val="single" w:sz="24" w:space="0" w:color="245D62"/>
              <w:left w:val="single" w:sz="24" w:space="0" w:color="245D62"/>
              <w:bottom w:val="single" w:sz="24" w:space="0" w:color="245D62"/>
            </w:tcBorders>
            <w:shd w:val="clear" w:color="auto" w:fill="245D62"/>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rPr>
                <w:b/>
                <w:bCs/>
                <w:i/>
                <w:iCs/>
                <w:color w:val="FFFFFF"/>
              </w:rPr>
            </w:pPr>
            <w:r>
              <w:rPr>
                <w:b/>
                <w:bCs/>
                <w:i/>
                <w:iCs/>
                <w:color w:val="FFFFFF"/>
              </w:rPr>
              <w:t>Learning Through Work</w:t>
            </w:r>
          </w:p>
          <w:p w:rsidR="00815516" w:rsidRDefault="00316F9B">
            <w:pPr>
              <w:widowControl w:val="0"/>
              <w:pBdr>
                <w:top w:val="nil"/>
                <w:left w:val="nil"/>
                <w:bottom w:val="nil"/>
                <w:right w:val="nil"/>
                <w:between w:val="nil"/>
              </w:pBdr>
              <w:spacing w:before="0" w:after="0"/>
              <w:rPr>
                <w:color w:val="FFFFFF"/>
              </w:rPr>
            </w:pPr>
            <w:r>
              <w:rPr>
                <w:color w:val="FFFFFF"/>
              </w:rPr>
              <w:t>(Career Training)</w:t>
            </w:r>
          </w:p>
        </w:tc>
        <w:tc>
          <w:tcPr>
            <w:tcW w:w="2016" w:type="dxa"/>
            <w:tcBorders>
              <w:top w:val="single" w:sz="24" w:space="0" w:color="245D62"/>
              <w:bottom w:val="single" w:sz="24" w:space="0" w:color="245D62"/>
            </w:tcBorders>
            <w:shd w:val="clear" w:color="auto" w:fill="DFE7E9"/>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Clinical Experience</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(4+ hours)</w:t>
            </w:r>
          </w:p>
        </w:tc>
        <w:tc>
          <w:tcPr>
            <w:tcW w:w="2016" w:type="dxa"/>
            <w:tcBorders>
              <w:top w:val="single" w:sz="24" w:space="0" w:color="245D62"/>
              <w:bottom w:val="single" w:sz="24" w:space="0" w:color="245D62"/>
            </w:tcBorders>
            <w:shd w:val="clear" w:color="auto" w:fill="DFE7E9"/>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Teacher Externship</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(15-60 hours)</w:t>
            </w:r>
          </w:p>
        </w:tc>
        <w:tc>
          <w:tcPr>
            <w:tcW w:w="2016" w:type="dxa"/>
            <w:tcBorders>
              <w:top w:val="single" w:sz="24" w:space="0" w:color="245D62"/>
              <w:bottom w:val="single" w:sz="24" w:space="0" w:color="245D62"/>
            </w:tcBorders>
            <w:shd w:val="clear" w:color="auto" w:fill="DFE7E9"/>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Internship</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 xml:space="preserve">(60+ hours, </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6-8 weeks)</w:t>
            </w:r>
          </w:p>
        </w:tc>
        <w:tc>
          <w:tcPr>
            <w:tcW w:w="2016" w:type="dxa"/>
            <w:tcBorders>
              <w:top w:val="single" w:sz="24" w:space="0" w:color="245D62"/>
              <w:bottom w:val="single" w:sz="24" w:space="0" w:color="245D62"/>
              <w:right w:val="single" w:sz="24" w:space="0" w:color="245D62"/>
            </w:tcBorders>
            <w:shd w:val="clear" w:color="auto" w:fill="DFE7E9"/>
            <w:tcMar>
              <w:top w:w="100" w:type="dxa"/>
              <w:left w:w="100" w:type="dxa"/>
              <w:bottom w:w="100" w:type="dxa"/>
              <w:right w:w="100" w:type="dxa"/>
            </w:tcMar>
          </w:tcPr>
          <w:p w:rsidR="00815516" w:rsidRDefault="00316F9B">
            <w:pPr>
              <w:widowControl w:val="0"/>
              <w:pBdr>
                <w:top w:val="nil"/>
                <w:left w:val="nil"/>
                <w:bottom w:val="nil"/>
                <w:right w:val="nil"/>
                <w:between w:val="nil"/>
              </w:pBdr>
              <w:spacing w:before="0" w:after="0"/>
              <w:jc w:val="center"/>
              <w:rPr>
                <w:b/>
                <w:bCs/>
              </w:rPr>
            </w:pPr>
            <w:r>
              <w:rPr>
                <w:b/>
                <w:bCs/>
              </w:rPr>
              <w:t>Pre-</w:t>
            </w:r>
          </w:p>
          <w:p w:rsidR="00815516" w:rsidRDefault="00316F9B">
            <w:pPr>
              <w:widowControl w:val="0"/>
              <w:pBdr>
                <w:top w:val="nil"/>
                <w:left w:val="nil"/>
                <w:bottom w:val="nil"/>
                <w:right w:val="nil"/>
                <w:between w:val="nil"/>
              </w:pBdr>
              <w:spacing w:before="0" w:after="0"/>
              <w:jc w:val="center"/>
              <w:rPr>
                <w:b/>
                <w:bCs/>
              </w:rPr>
            </w:pPr>
            <w:r>
              <w:rPr>
                <w:b/>
                <w:bCs/>
              </w:rPr>
              <w:t>Apprenticeship</w:t>
            </w:r>
          </w:p>
          <w:p w:rsidR="00815516" w:rsidRDefault="00316F9B">
            <w:pPr>
              <w:widowControl w:val="0"/>
              <w:pBdr>
                <w:top w:val="nil"/>
                <w:left w:val="nil"/>
                <w:bottom w:val="nil"/>
                <w:right w:val="nil"/>
                <w:between w:val="nil"/>
              </w:pBdr>
              <w:spacing w:before="0" w:after="0"/>
              <w:jc w:val="center"/>
              <w:rPr>
                <w:rFonts w:ascii="Barlow Medium" w:eastAsia="Barlow Medium" w:hAnsi="Barlow Medium" w:cs="Barlow Medium"/>
                <w:i/>
                <w:iCs/>
                <w:sz w:val="20"/>
                <w:szCs w:val="20"/>
              </w:rPr>
            </w:pPr>
            <w:r>
              <w:rPr>
                <w:rFonts w:ascii="Barlow Medium" w:eastAsia="Barlow Medium" w:hAnsi="Barlow Medium" w:cs="Barlow Medium"/>
                <w:i/>
                <w:iCs/>
                <w:sz w:val="20"/>
                <w:szCs w:val="20"/>
              </w:rPr>
              <w:t>(400 hours)</w:t>
            </w:r>
          </w:p>
        </w:tc>
      </w:tr>
    </w:tbl>
    <w:p w:rsidR="00815516" w:rsidRDefault="00316F9B">
      <w:pPr>
        <w:pStyle w:val="Heading1"/>
        <w:spacing w:before="240"/>
      </w:pPr>
      <w:bookmarkStart w:id="7" w:name="_heading=h.ktf5hwxqtzs5" w:colFirst="0" w:colLast="0"/>
      <w:bookmarkEnd w:id="7"/>
      <w:r>
        <w:t xml:space="preserve">How YOU Can Engage </w:t>
      </w:r>
      <w:proofErr w:type="gramStart"/>
      <w:r>
        <w:t>With</w:t>
      </w:r>
      <w:proofErr w:type="gramEnd"/>
      <w:r>
        <w:t xml:space="preserve"> WBL in YOUR Community</w:t>
      </w:r>
    </w:p>
    <w:p w:rsidR="00815516" w:rsidRDefault="00316F9B">
      <w:r>
        <w:t>To learn more about partn</w:t>
      </w:r>
      <w:r w:rsidR="00AD5782">
        <w:t>e</w:t>
      </w:r>
      <w:r>
        <w:t xml:space="preserve">ring to provide career awareness, exploration, preparation, or entry experiences for students in your community, please contact: </w:t>
      </w:r>
      <w:r>
        <w:rPr>
          <w:b/>
          <w:bCs/>
        </w:rPr>
        <w:t xml:space="preserve">&lt;Insert Name, Title, </w:t>
      </w:r>
      <w:hyperlink r:id="rId9">
        <w:r>
          <w:rPr>
            <w:b/>
            <w:bCs/>
            <w:color w:val="245D62"/>
            <w:u w:val="single"/>
          </w:rPr>
          <w:t>name@email.com</w:t>
        </w:r>
      </w:hyperlink>
      <w:r>
        <w:rPr>
          <w:b/>
          <w:bCs/>
        </w:rPr>
        <w:t>, (xxx) xxx-1234&gt;</w:t>
      </w:r>
      <w:r>
        <w:t>.</w:t>
      </w:r>
    </w:p>
    <w:sectPr w:rsidR="00815516">
      <w:headerReference w:type="default" r:id="rId10"/>
      <w:footerReference w:type="default" r:id="rId11"/>
      <w:pgSz w:w="12240" w:h="15840"/>
      <w:pgMar w:top="252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F9B" w:rsidRDefault="00316F9B">
      <w:pPr>
        <w:spacing w:before="0" w:after="0"/>
      </w:pPr>
      <w:r>
        <w:separator/>
      </w:r>
    </w:p>
  </w:endnote>
  <w:endnote w:type="continuationSeparator" w:id="0">
    <w:p w:rsidR="00316F9B" w:rsidRDefault="00316F9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Barlow">
    <w:altName w:val="Calibri"/>
    <w:charset w:val="00"/>
    <w:family w:val="auto"/>
    <w:pitch w:val="default"/>
    <w:embedRegular r:id="rId1" w:fontKey="{9098458B-EE05-4047-B06C-3C6F346BEDD3}"/>
    <w:embedBold r:id="rId2" w:fontKey="{C8DC9A9A-DBA1-41D4-8821-D5C47B08BD9C}"/>
    <w:embedItalic r:id="rId3" w:fontKey="{B447A095-9001-41D7-A461-B30CF89691C5}"/>
    <w:embedBoldItalic r:id="rId4" w:fontKey="{0BABF8C0-FF3F-4BBD-A577-900CDDCE2FA5}"/>
  </w:font>
  <w:font w:name="Barlow Condensed">
    <w:charset w:val="00"/>
    <w:family w:val="auto"/>
    <w:pitch w:val="default"/>
    <w:embedBold r:id="rId5" w:fontKey="{49912686-1B27-4C55-94E3-155BEF81939B}"/>
  </w:font>
  <w:font w:name="Barlow Semi Condensed Medium">
    <w:charset w:val="00"/>
    <w:family w:val="auto"/>
    <w:pitch w:val="default"/>
    <w:embedRegular r:id="rId6" w:fontKey="{B5545F5D-34A1-4865-8B0F-93C084C4E659}"/>
  </w:font>
  <w:font w:name="Barlow Medium">
    <w:charset w:val="00"/>
    <w:family w:val="auto"/>
    <w:pitch w:val="default"/>
    <w:embedRegular r:id="rId7" w:fontKey="{BE232FE9-8681-4F9D-B4A5-84BE023703DA}"/>
    <w:embedItalic r:id="rId8" w:fontKey="{B1DAD5E1-E4FE-4942-BA59-C8B2EE0DA3BE}"/>
  </w:font>
  <w:font w:name="Barlow Condensed ExtraBold">
    <w:charset w:val="00"/>
    <w:family w:val="auto"/>
    <w:pitch w:val="default"/>
    <w:embedRegular r:id="rId9" w:fontKey="{3BB8BF10-BB8F-4DEC-A599-8DFCC0C37C0E}"/>
  </w:font>
  <w:font w:name="Barlow Semi Condensed SemiBold">
    <w:charset w:val="00"/>
    <w:family w:val="auto"/>
    <w:pitch w:val="default"/>
    <w:embedRegular r:id="rId10" w:fontKey="{A41F8939-012C-4C3F-8E09-7D985CEA72F7}"/>
  </w:font>
  <w:font w:name="Montserrat Medium">
    <w:panose1 w:val="00000000000000000000"/>
    <w:charset w:val="00"/>
    <w:family w:val="auto"/>
    <w:pitch w:val="variable"/>
    <w:sig w:usb0="A00002FF" w:usb1="4000247B" w:usb2="00000000" w:usb3="00000000" w:csb0="00000197" w:csb1="00000000"/>
    <w:embedRegular r:id="rId11" w:fontKey="{4CFE3F58-A2BC-4BF3-A338-7B38CC9D227F}"/>
  </w:font>
  <w:font w:name="Aptos">
    <w:altName w:val="Calibri"/>
    <w:charset w:val="00"/>
    <w:family w:val="auto"/>
    <w:pitch w:val="default"/>
  </w:font>
  <w:font w:name="Calibri">
    <w:panose1 w:val="020F0502020204030204"/>
    <w:charset w:val="00"/>
    <w:family w:val="swiss"/>
    <w:pitch w:val="variable"/>
    <w:sig w:usb0="E0002AFF" w:usb1="4000ACFF" w:usb2="00000001" w:usb3="00000000" w:csb0="000001FF" w:csb1="00000000"/>
    <w:embedRegular r:id="rId12" w:fontKey="{77B67E4E-2A7B-44BA-8253-8013027F9FEA}"/>
  </w:font>
  <w:font w:name="Cambria">
    <w:panose1 w:val="02040503050406030204"/>
    <w:charset w:val="00"/>
    <w:family w:val="roman"/>
    <w:pitch w:val="variable"/>
    <w:sig w:usb0="E00006FF" w:usb1="420024FF" w:usb2="02000000" w:usb3="00000000" w:csb0="0000019F" w:csb1="00000000"/>
    <w:embedRegular r:id="rId13" w:fontKey="{72547805-3052-43A5-A590-F6B327FDF0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516" w:rsidRDefault="00316F9B">
    <w:pPr>
      <w:rPr>
        <w:sz w:val="20"/>
        <w:szCs w:val="20"/>
      </w:rPr>
    </w:pPr>
    <w:r>
      <w:rPr>
        <w:sz w:val="20"/>
        <w:szCs w:val="20"/>
      </w:rPr>
      <w:t>New Mexico Work--Based Learning Outreach and Engagement Resources: Fast Facts for Employers</w:t>
    </w:r>
    <w:r>
      <w:rPr>
        <w:sz w:val="20"/>
        <w:szCs w:val="20"/>
      </w:rPr>
      <w:tab/>
    </w:r>
    <w:r>
      <w:rPr>
        <w:sz w:val="20"/>
        <w:szCs w:val="20"/>
      </w:rPr>
      <w:tab/>
    </w:r>
    <w:r>
      <w:rPr>
        <w:sz w:val="20"/>
        <w:szCs w:val="20"/>
      </w:rPr>
      <w:fldChar w:fldCharType="begin"/>
    </w:r>
    <w:r>
      <w:rPr>
        <w:sz w:val="20"/>
        <w:szCs w:val="20"/>
      </w:rPr>
      <w:instrText>PAGE</w:instrText>
    </w:r>
    <w:r w:rsidR="00FB0923">
      <w:rPr>
        <w:sz w:val="20"/>
        <w:szCs w:val="20"/>
      </w:rPr>
      <w:fldChar w:fldCharType="separate"/>
    </w:r>
    <w:r w:rsidR="00FB0923">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F9B" w:rsidRDefault="00316F9B">
      <w:pPr>
        <w:spacing w:before="0" w:after="0"/>
      </w:pPr>
      <w:r>
        <w:separator/>
      </w:r>
    </w:p>
  </w:footnote>
  <w:footnote w:type="continuationSeparator" w:id="0">
    <w:p w:rsidR="00316F9B" w:rsidRDefault="00316F9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516" w:rsidRDefault="00316F9B">
    <w:pPr>
      <w:pBdr>
        <w:top w:val="nil"/>
        <w:left w:val="nil"/>
        <w:bottom w:val="nil"/>
        <w:right w:val="nil"/>
        <w:between w:val="nil"/>
      </w:pBdr>
      <w:tabs>
        <w:tab w:val="center" w:pos="4680"/>
        <w:tab w:val="right" w:pos="9360"/>
      </w:tabs>
      <w:spacing w:before="0" w:after="0"/>
      <w:rPr>
        <w:rFonts w:ascii="Aptos" w:eastAsia="Aptos" w:hAnsi="Aptos" w:cs="Aptos"/>
        <w:color w:val="000000"/>
        <w:sz w:val="24"/>
        <w:szCs w:val="24"/>
      </w:rPr>
    </w:pPr>
    <w:r>
      <w:rPr>
        <w:noProof/>
      </w:rPr>
      <w:drawing>
        <wp:anchor distT="0" distB="0" distL="0" distR="0" simplePos="0" relativeHeight="251658240" behindDoc="1" locked="0" layoutInCell="1" hidden="0" allowOverlap="1">
          <wp:simplePos x="0" y="0"/>
          <wp:positionH relativeFrom="column">
            <wp:posOffset>-905931</wp:posOffset>
          </wp:positionH>
          <wp:positionV relativeFrom="paragraph">
            <wp:posOffset>-474130</wp:posOffset>
          </wp:positionV>
          <wp:extent cx="7986713" cy="1905000"/>
          <wp:effectExtent l="0" t="0" r="0" b="0"/>
          <wp:wrapNone/>
          <wp:docPr id="1" name="image2.png" descr="Header with a dark green thick curved banner with one thin white arch and one thin orange arch underneath. The New Mexico Publication Education Department logo is underneath the banner. "/>
          <wp:cNvGraphicFramePr/>
          <a:graphic xmlns:a="http://schemas.openxmlformats.org/drawingml/2006/main">
            <a:graphicData uri="http://schemas.openxmlformats.org/drawingml/2006/picture">
              <pic:pic xmlns:pic="http://schemas.openxmlformats.org/drawingml/2006/picture">
                <pic:nvPicPr>
                  <pic:cNvPr id="0" name="image2.png" descr="Header with a dark green thick curved banner with one thin white arch and one thin orange arch underneath. The New Mexico Publication Education Department logo is underneath the banner. "/>
                  <pic:cNvPicPr preferRelativeResize="0"/>
                </pic:nvPicPr>
                <pic:blipFill>
                  <a:blip r:embed="rId1"/>
                  <a:srcRect b="81096"/>
                  <a:stretch>
                    <a:fillRect/>
                  </a:stretch>
                </pic:blipFill>
                <pic:spPr>
                  <a:xfrm>
                    <a:off x="0" y="0"/>
                    <a:ext cx="7986713" cy="1905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3F29"/>
    <w:multiLevelType w:val="multilevel"/>
    <w:tmpl w:val="83105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EA2196"/>
    <w:multiLevelType w:val="multilevel"/>
    <w:tmpl w:val="43A0B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63125E"/>
    <w:multiLevelType w:val="multilevel"/>
    <w:tmpl w:val="9E968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516"/>
    <w:rsid w:val="00176E13"/>
    <w:rsid w:val="00247B02"/>
    <w:rsid w:val="00316F9B"/>
    <w:rsid w:val="00815516"/>
    <w:rsid w:val="00AD5782"/>
    <w:rsid w:val="00FB0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7087C"/>
  <w15:docId w15:val="{A73C0A92-7BE1-4CC3-986B-B9805EF9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arlow" w:eastAsia="Barlow" w:hAnsi="Barlow" w:cs="Barlow"/>
        <w:color w:val="030303"/>
        <w:sz w:val="22"/>
        <w:szCs w:val="22"/>
        <w:lang w:val="en" w:eastAsia="en-US" w:bidi="ar-SA"/>
      </w:rPr>
    </w:rPrDefault>
    <w:pPrDefault>
      <w:pPr>
        <w:spacing w:before="20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outlineLvl w:val="0"/>
    </w:pPr>
    <w:rPr>
      <w:rFonts w:ascii="Barlow Condensed" w:eastAsia="Barlow Condensed" w:hAnsi="Barlow Condensed" w:cs="Barlow Condensed"/>
      <w:b/>
      <w:bCs/>
      <w:color w:val="C64C43"/>
      <w:sz w:val="32"/>
      <w:szCs w:val="32"/>
    </w:rPr>
  </w:style>
  <w:style w:type="paragraph" w:styleId="Heading2">
    <w:name w:val="heading 2"/>
    <w:basedOn w:val="Normal"/>
    <w:next w:val="Normal"/>
    <w:uiPriority w:val="9"/>
    <w:semiHidden/>
    <w:unhideWhenUsed/>
    <w:qFormat/>
    <w:pPr>
      <w:keepNext/>
      <w:keepLines/>
      <w:outlineLvl w:val="1"/>
    </w:pPr>
    <w:rPr>
      <w:rFonts w:ascii="Barlow Semi Condensed Medium" w:eastAsia="Barlow Semi Condensed Medium" w:hAnsi="Barlow Semi Condensed Medium" w:cs="Barlow Semi Condensed Medium"/>
      <w:color w:val="245D62"/>
      <w:sz w:val="28"/>
      <w:szCs w:val="28"/>
    </w:rPr>
  </w:style>
  <w:style w:type="paragraph" w:styleId="Heading3">
    <w:name w:val="heading 3"/>
    <w:basedOn w:val="Normal"/>
    <w:next w:val="Normal"/>
    <w:uiPriority w:val="9"/>
    <w:semiHidden/>
    <w:unhideWhenUsed/>
    <w:qFormat/>
    <w:pPr>
      <w:keepNext/>
      <w:keepLines/>
      <w:outlineLvl w:val="2"/>
    </w:pPr>
    <w:rPr>
      <w:rFonts w:ascii="Barlow Semi Condensed Medium" w:eastAsia="Barlow Semi Condensed Medium" w:hAnsi="Barlow Semi Condensed Medium" w:cs="Barlow Semi Condensed Medium"/>
      <w:color w:val="C64C43"/>
    </w:rPr>
  </w:style>
  <w:style w:type="paragraph" w:styleId="Heading4">
    <w:name w:val="heading 4"/>
    <w:basedOn w:val="Normal"/>
    <w:next w:val="Normal"/>
    <w:uiPriority w:val="9"/>
    <w:semiHidden/>
    <w:unhideWhenUsed/>
    <w:qFormat/>
    <w:pPr>
      <w:keepNext/>
      <w:keepLines/>
      <w:outlineLvl w:val="3"/>
    </w:pPr>
    <w:rPr>
      <w:rFonts w:ascii="Barlow Medium" w:eastAsia="Barlow Medium" w:hAnsi="Barlow Medium" w:cs="Barlow Medium"/>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ind w:left="720" w:hanging="360"/>
      <w:jc w:val="center"/>
    </w:pPr>
    <w:rPr>
      <w:rFonts w:ascii="Barlow Condensed ExtraBold" w:eastAsia="Barlow Condensed ExtraBold" w:hAnsi="Barlow Condensed ExtraBold" w:cs="Barlow Condensed ExtraBold"/>
      <w:color w:val="245D62"/>
      <w:sz w:val="48"/>
      <w:szCs w:val="48"/>
    </w:rPr>
  </w:style>
  <w:style w:type="paragraph" w:styleId="Subtitle">
    <w:name w:val="Subtitle"/>
    <w:basedOn w:val="Normal"/>
    <w:next w:val="Normal"/>
    <w:uiPriority w:val="11"/>
    <w:qFormat/>
    <w:rPr>
      <w:rFonts w:ascii="Barlow Semi Condensed SemiBold" w:eastAsia="Barlow Semi Condensed SemiBold" w:hAnsi="Barlow Semi Condensed SemiBold" w:cs="Barlow Semi Condensed SemiBold"/>
      <w:color w:val="58595B"/>
      <w:sz w:val="36"/>
      <w:szCs w:val="36"/>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me@e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AT/ibT+nTS2fY4RngLy7q84/mA==">CgMxLjAaHgoBMBIZChcICVITChF0YWJsZS43OThzMnJ1dDZvazIOaC55NDhxZDljNHg2c2IyDmguMmNwMjFndmEzcnJ6Mg5oLjJ0aHM1NTllcjJueTIOaC5lNngwanBueDd0eGoyDmgudWM3MHFxNWdta29lMg5oLjJnNjl6MTRuOWxlazIOaC5rdGY1aHd4cXR6czU4AHIhMTd0d0JTa3YyV2Q1b09zTEktNzh1ajA2LUNkU1JYLTJC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Advance CTE</cp:lastModifiedBy>
  <cp:revision>5</cp:revision>
  <dcterms:created xsi:type="dcterms:W3CDTF">2026-06-17T12:20:00Z</dcterms:created>
  <dcterms:modified xsi:type="dcterms:W3CDTF">2026-06-17T12:23:00Z</dcterms:modified>
</cp:coreProperties>
</file>